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8B03EF">
        <w:rPr>
          <w:szCs w:val="48"/>
        </w:rPr>
        <w:t>resseMITTEILUNG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FF580F" w:rsidP="0095592D">
      <w:pPr>
        <w:spacing w:line="240" w:lineRule="auto"/>
        <w:contextualSpacing w:val="0"/>
        <w:rPr>
          <w:rFonts w:eastAsiaTheme="minorHAnsi" w:cstheme="minorBidi"/>
          <w:b/>
          <w:sz w:val="28"/>
          <w:szCs w:val="22"/>
          <w:lang w:eastAsia="en-US"/>
        </w:rPr>
      </w:pPr>
      <w:r w:rsidRPr="00FF580F">
        <w:rPr>
          <w:rFonts w:eastAsiaTheme="minorHAnsi" w:cstheme="minorBidi"/>
          <w:b/>
          <w:sz w:val="28"/>
          <w:szCs w:val="22"/>
          <w:lang w:eastAsia="en-US"/>
        </w:rPr>
        <w:t xml:space="preserve">Fehlerdetektion auf spiegelnden Oberflächen durch </w:t>
      </w:r>
      <w:r w:rsidR="00760077">
        <w:rPr>
          <w:rFonts w:eastAsiaTheme="minorHAnsi" w:cstheme="minorBidi"/>
          <w:b/>
          <w:sz w:val="28"/>
          <w:szCs w:val="22"/>
          <w:lang w:eastAsia="en-US"/>
        </w:rPr>
        <w:br/>
      </w:r>
      <w:r w:rsidRPr="00FF580F">
        <w:rPr>
          <w:rFonts w:eastAsiaTheme="minorHAnsi" w:cstheme="minorBidi"/>
          <w:b/>
          <w:sz w:val="28"/>
          <w:szCs w:val="22"/>
          <w:lang w:eastAsia="en-US"/>
        </w:rPr>
        <w:t>Inverse Deflektometrie</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FF580F" w:rsidRDefault="00FF580F" w:rsidP="00C46D12">
      <w:pPr>
        <w:rPr>
          <w:szCs w:val="20"/>
        </w:rPr>
      </w:pPr>
      <w:r w:rsidRPr="00FF580F">
        <w:rPr>
          <w:b/>
          <w:szCs w:val="20"/>
        </w:rPr>
        <w:t>Das Verfahren der »Inversen Deflektometrie« des Fraunhofer EZRT eignet sich zur Fehlerdetektion auf spiegelnden Oberflächen und zur Vermessung der 3D-Form von Objekten. Das Verfahren ermöglicht beispielsweise die vollständige Inline-Prüfung von Gleitsichtbrillengläsern, die bislang ausschließlich stichpunktartig durchgeführt werden konnte.</w:t>
      </w:r>
      <w:bookmarkStart w:id="4" w:name="_GoBack"/>
      <w:bookmarkEnd w:id="4"/>
    </w:p>
    <w:p w:rsidR="00FF580F" w:rsidRDefault="00FF580F" w:rsidP="00C46D12">
      <w:pPr>
        <w:rPr>
          <w:szCs w:val="20"/>
        </w:rPr>
      </w:pPr>
    </w:p>
    <w:p w:rsidR="00AC50CA" w:rsidRDefault="00AC50CA" w:rsidP="00C46D12">
      <w:pPr>
        <w:rPr>
          <w:b/>
        </w:rPr>
      </w:pPr>
      <w:r w:rsidRPr="00C46D12">
        <w:rPr>
          <w:b/>
        </w:rPr>
        <w:t>Langfassung</w:t>
      </w:r>
    </w:p>
    <w:p w:rsidR="0095592D" w:rsidRPr="00C46D12" w:rsidRDefault="0095592D" w:rsidP="00C46D12">
      <w:pPr>
        <w:rPr>
          <w:rFonts w:ascii="Frutiger LT Com 65 Bold" w:hAnsi="Frutiger LT Com 65 Bold"/>
          <w:b/>
          <w:noProof/>
          <w:spacing w:val="-1"/>
        </w:rPr>
      </w:pPr>
    </w:p>
    <w:p w:rsidR="00FF580F" w:rsidRPr="00716864" w:rsidRDefault="00FF580F" w:rsidP="00FF580F">
      <w:pPr>
        <w:rPr>
          <w:i/>
          <w:szCs w:val="20"/>
        </w:rPr>
      </w:pPr>
      <w:r w:rsidRPr="00716864">
        <w:rPr>
          <w:i/>
          <w:szCs w:val="20"/>
        </w:rPr>
        <w:t>Fehlerdetektion auf spiegelnden Oberflächen durch Inverse Deflektometrie</w:t>
      </w:r>
    </w:p>
    <w:p w:rsidR="00FF580F" w:rsidRPr="00716864" w:rsidRDefault="00FF580F" w:rsidP="00FF580F">
      <w:pPr>
        <w:rPr>
          <w:i/>
          <w:szCs w:val="20"/>
        </w:rPr>
      </w:pPr>
    </w:p>
    <w:p w:rsidR="00FF580F" w:rsidRDefault="00FF580F" w:rsidP="00FF580F">
      <w:pPr>
        <w:rPr>
          <w:szCs w:val="20"/>
        </w:rPr>
      </w:pPr>
      <w:r w:rsidRPr="00FF580F">
        <w:rPr>
          <w:szCs w:val="20"/>
        </w:rPr>
        <w:t>Das am Fraunhofer-Entwicklungszentrum Röntgentechnik EZRT in Fürth entwickelte Verfahren der »Inversen Deflektometrie« eignet sich zur Fehlerdetektion auf spiegelnden Oberflächen und zur Verme</w:t>
      </w:r>
      <w:r>
        <w:rPr>
          <w:szCs w:val="20"/>
        </w:rPr>
        <w:t>ssung der 3D-Form von Objekten.</w:t>
      </w:r>
    </w:p>
    <w:p w:rsidR="00FF580F" w:rsidRDefault="00FF580F" w:rsidP="00FF580F">
      <w:pPr>
        <w:rPr>
          <w:szCs w:val="20"/>
        </w:rPr>
      </w:pPr>
    </w:p>
    <w:p w:rsidR="00FF580F" w:rsidRPr="00716864" w:rsidRDefault="00FF580F" w:rsidP="00FF580F">
      <w:pPr>
        <w:rPr>
          <w:i/>
          <w:szCs w:val="20"/>
        </w:rPr>
      </w:pPr>
      <w:r w:rsidRPr="00716864">
        <w:rPr>
          <w:i/>
          <w:szCs w:val="20"/>
        </w:rPr>
        <w:t>Qualitätskontrolle von Gleitsichtgläsern und spiegelnden Oberflächen</w:t>
      </w:r>
    </w:p>
    <w:p w:rsidR="00FF580F" w:rsidRDefault="00FF580F" w:rsidP="00FF580F">
      <w:pPr>
        <w:rPr>
          <w:szCs w:val="20"/>
        </w:rPr>
      </w:pPr>
    </w:p>
    <w:p w:rsidR="00FF580F" w:rsidRDefault="00FF580F" w:rsidP="00FF580F">
      <w:pPr>
        <w:rPr>
          <w:szCs w:val="20"/>
        </w:rPr>
      </w:pPr>
      <w:r w:rsidRPr="00FF580F">
        <w:rPr>
          <w:szCs w:val="20"/>
        </w:rPr>
        <w:t>Die Inverse Deflektometrie kann zum Beispiel zur Qualitätskontrolle von Gleitsichtgläsern in der Produktion eingesetzt werden. Aktuell erfolgt die Prüfung von Gleitsichtgläsern nur stichpunktartig, da zur Messung der Oberfläche mittels normaler Deflektometrie die Rückseite des Brillenglases mattiert und geschwärzt werden muss und dabei das Brillenglas für den Endanwender nicht mehr verwendbar wird. Da bei der Inversen Deflektometrie die Rückseite nicht bearbeitet werden muss, ist so erstmals eine 100-Prozent-Inline-Kontrolle möglich. Je nach Beschaffenheit des Prüfobjekts können zudem beide Seiten innerhal</w:t>
      </w:r>
      <w:r>
        <w:rPr>
          <w:szCs w:val="20"/>
        </w:rPr>
        <w:t>b einer Messung erfasst werden.</w:t>
      </w:r>
    </w:p>
    <w:p w:rsidR="00FF580F" w:rsidRPr="00FF580F" w:rsidRDefault="00FF580F" w:rsidP="00FF580F">
      <w:pPr>
        <w:rPr>
          <w:szCs w:val="20"/>
        </w:rPr>
      </w:pPr>
    </w:p>
    <w:p w:rsidR="00FF580F" w:rsidRDefault="00FF580F" w:rsidP="00FF580F">
      <w:pPr>
        <w:rPr>
          <w:szCs w:val="20"/>
        </w:rPr>
      </w:pPr>
      <w:r w:rsidRPr="00FF580F">
        <w:rPr>
          <w:szCs w:val="20"/>
        </w:rPr>
        <w:t>Eine weitere Einsatzmöglichkeit ist die Defekterkennung auf spiegelnden Oberflächen. So können zum Beispiel Kratzer und Risse sowie Lackläufer oder Einschlüsse einfach</w:t>
      </w:r>
      <w:r>
        <w:rPr>
          <w:szCs w:val="20"/>
        </w:rPr>
        <w:t xml:space="preserve"> und schnell detektiert werden.</w:t>
      </w:r>
    </w:p>
    <w:p w:rsidR="00716864" w:rsidRDefault="00716864">
      <w:pPr>
        <w:spacing w:after="0" w:line="240" w:lineRule="auto"/>
        <w:contextualSpacing w:val="0"/>
        <w:rPr>
          <w:szCs w:val="20"/>
        </w:rPr>
      </w:pPr>
      <w:r>
        <w:rPr>
          <w:szCs w:val="20"/>
        </w:rPr>
        <w:br w:type="page"/>
      </w:r>
    </w:p>
    <w:p w:rsidR="00FF580F" w:rsidRPr="00716864" w:rsidRDefault="00FF580F" w:rsidP="00FF580F">
      <w:pPr>
        <w:rPr>
          <w:i/>
          <w:szCs w:val="20"/>
        </w:rPr>
      </w:pPr>
      <w:r w:rsidRPr="00716864">
        <w:rPr>
          <w:i/>
          <w:szCs w:val="20"/>
        </w:rPr>
        <w:lastRenderedPageBreak/>
        <w:t>Messaufbau eines Systems zur Qualitätskontrolle mit Inverser Deflektometrie</w:t>
      </w:r>
    </w:p>
    <w:p w:rsidR="00FF580F" w:rsidRDefault="00FF580F" w:rsidP="00FF580F">
      <w:pPr>
        <w:rPr>
          <w:szCs w:val="20"/>
        </w:rPr>
      </w:pPr>
    </w:p>
    <w:p w:rsidR="0095592D" w:rsidRPr="00A2274F" w:rsidRDefault="00FF580F" w:rsidP="00FF580F">
      <w:pPr>
        <w:rPr>
          <w:szCs w:val="20"/>
        </w:rPr>
      </w:pPr>
      <w:r w:rsidRPr="00FF580F">
        <w:rPr>
          <w:szCs w:val="20"/>
        </w:rPr>
        <w:t>Ein möglicher Messaufbau mit Inverser Deflektometrie ist in Bild 3 dargestellt: Ein Linienlaser wird auf die zu untersuchende Oberfläche projiziert. Aufgrund der spiegelnden Oberfläche wird das Licht auf einen Schirm reflektiert und von dort auf eine Kamera abgebildet. Zur Abtastung der gesamten Oberfläche muss der Sensor oder die Oberfläche linear bewegt werden. Die Position und die Oberflächennormale am Ort der Reflektion haben dabei Einfluss auf den Projektionsort auf dem Schirm. Durch Bestimmung des Linienverlaufs auf dem Schirm kann auf die Form der zu prüfenden Oberfläche rückgeschlossen werden. Wie auch die normale Deflektometrie ist das Verfahren besonders sensitiv für lokale Winkeländerungen.</w:t>
      </w:r>
    </w:p>
    <w:p w:rsidR="002041E7" w:rsidRPr="002555E5" w:rsidRDefault="002041E7" w:rsidP="002041E7">
      <w:pPr>
        <w:pStyle w:val="berschriftimText"/>
      </w:pPr>
      <w:r w:rsidRPr="002555E5">
        <w:t>Bilder in Druckqualität</w:t>
      </w:r>
    </w:p>
    <w:p w:rsidR="00716864" w:rsidRDefault="00FF580F" w:rsidP="00FF580F">
      <w:pPr>
        <w:spacing w:after="0" w:line="240" w:lineRule="auto"/>
        <w:contextualSpacing w:val="0"/>
        <w:rPr>
          <w:sz w:val="18"/>
          <w:szCs w:val="18"/>
        </w:rPr>
      </w:pPr>
      <w:r w:rsidRPr="00FF580F">
        <w:rPr>
          <w:sz w:val="18"/>
          <w:szCs w:val="18"/>
        </w:rPr>
        <w:t>Bild 1:</w:t>
      </w:r>
      <w:r w:rsidRPr="00FF580F">
        <w:t xml:space="preserve"> </w:t>
      </w:r>
      <w:r>
        <w:t>(</w:t>
      </w:r>
      <w:r w:rsidRPr="00FF580F">
        <w:rPr>
          <w:sz w:val="18"/>
          <w:szCs w:val="18"/>
        </w:rPr>
        <w:t>fraunhofer-vision-control-2019-ezrt-</w:t>
      </w:r>
      <w:r w:rsidR="00983B50">
        <w:rPr>
          <w:sz w:val="18"/>
          <w:szCs w:val="18"/>
        </w:rPr>
        <w:t>inverse-</w:t>
      </w:r>
      <w:r w:rsidRPr="00FF580F">
        <w:rPr>
          <w:sz w:val="18"/>
          <w:szCs w:val="18"/>
        </w:rPr>
        <w:t>deflektometrie-bild1.jpg</w:t>
      </w:r>
      <w:r>
        <w:rPr>
          <w:sz w:val="18"/>
          <w:szCs w:val="18"/>
        </w:rPr>
        <w:t>)</w:t>
      </w:r>
      <w:r w:rsidR="00983B50">
        <w:rPr>
          <w:sz w:val="18"/>
          <w:szCs w:val="18"/>
        </w:rPr>
        <w:br/>
      </w:r>
      <w:r w:rsidRPr="00FF580F">
        <w:rPr>
          <w:sz w:val="18"/>
          <w:szCs w:val="18"/>
        </w:rPr>
        <w:t>Messdaten eines Gleitsichtglases</w:t>
      </w:r>
      <w:r w:rsidR="00716864">
        <w:rPr>
          <w:sz w:val="18"/>
          <w:szCs w:val="18"/>
        </w:rPr>
        <w:t xml:space="preserve"> (Bildquelle: Fraunhofer EZRT).</w:t>
      </w:r>
    </w:p>
    <w:p w:rsidR="00716864" w:rsidRDefault="00716864" w:rsidP="00FF580F">
      <w:pPr>
        <w:spacing w:after="0" w:line="240" w:lineRule="auto"/>
        <w:contextualSpacing w:val="0"/>
        <w:rPr>
          <w:sz w:val="18"/>
          <w:szCs w:val="18"/>
        </w:rPr>
      </w:pPr>
    </w:p>
    <w:p w:rsidR="00FF580F" w:rsidRPr="00FF580F" w:rsidRDefault="00FF580F" w:rsidP="00FF580F">
      <w:pPr>
        <w:spacing w:after="0" w:line="240" w:lineRule="auto"/>
        <w:contextualSpacing w:val="0"/>
        <w:rPr>
          <w:sz w:val="18"/>
          <w:szCs w:val="18"/>
        </w:rPr>
      </w:pPr>
      <w:r w:rsidRPr="00FF580F">
        <w:rPr>
          <w:sz w:val="18"/>
          <w:szCs w:val="18"/>
        </w:rPr>
        <w:t xml:space="preserve">Bild 2: </w:t>
      </w:r>
      <w:r w:rsidR="00A6505C">
        <w:t>(</w:t>
      </w:r>
      <w:r w:rsidR="00A6505C" w:rsidRPr="00FF580F">
        <w:rPr>
          <w:sz w:val="18"/>
          <w:szCs w:val="18"/>
        </w:rPr>
        <w:t>fraunhofer-vision-contro</w:t>
      </w:r>
      <w:r w:rsidR="00A6505C">
        <w:rPr>
          <w:sz w:val="18"/>
          <w:szCs w:val="18"/>
        </w:rPr>
        <w:t>l-2019-ezrt-</w:t>
      </w:r>
      <w:r w:rsidR="00983B50">
        <w:rPr>
          <w:sz w:val="18"/>
          <w:szCs w:val="18"/>
        </w:rPr>
        <w:t>inverse-</w:t>
      </w:r>
      <w:r w:rsidR="00A6505C">
        <w:rPr>
          <w:sz w:val="18"/>
          <w:szCs w:val="18"/>
        </w:rPr>
        <w:t>deflektometrie-bild2</w:t>
      </w:r>
      <w:r w:rsidR="00A6505C" w:rsidRPr="00FF580F">
        <w:rPr>
          <w:sz w:val="18"/>
          <w:szCs w:val="18"/>
        </w:rPr>
        <w:t>.jpg</w:t>
      </w:r>
      <w:r w:rsidR="00A6505C">
        <w:rPr>
          <w:sz w:val="18"/>
          <w:szCs w:val="18"/>
        </w:rPr>
        <w:t>)</w:t>
      </w:r>
      <w:r w:rsidR="00983B50">
        <w:rPr>
          <w:sz w:val="18"/>
          <w:szCs w:val="18"/>
        </w:rPr>
        <w:br/>
      </w:r>
      <w:r w:rsidRPr="00FF580F">
        <w:rPr>
          <w:sz w:val="18"/>
          <w:szCs w:val="18"/>
        </w:rPr>
        <w:t>Messung eines Gleitschichtglases mit Inverser Deflektometrie</w:t>
      </w:r>
      <w:r w:rsidR="007D0AD3">
        <w:rPr>
          <w:sz w:val="18"/>
          <w:szCs w:val="18"/>
        </w:rPr>
        <w:t xml:space="preserve"> (Q</w:t>
      </w:r>
      <w:r w:rsidR="00716864">
        <w:rPr>
          <w:sz w:val="18"/>
          <w:szCs w:val="18"/>
        </w:rPr>
        <w:t>uelle: Fraunhofer EZRT).</w:t>
      </w:r>
    </w:p>
    <w:p w:rsidR="00716864" w:rsidRDefault="00716864" w:rsidP="00FF580F">
      <w:pPr>
        <w:spacing w:after="0" w:line="240" w:lineRule="auto"/>
        <w:contextualSpacing w:val="0"/>
        <w:rPr>
          <w:sz w:val="18"/>
          <w:szCs w:val="18"/>
        </w:rPr>
      </w:pPr>
    </w:p>
    <w:p w:rsidR="00A6505C" w:rsidRDefault="00FF580F" w:rsidP="00FF580F">
      <w:pPr>
        <w:spacing w:after="0" w:line="240" w:lineRule="auto"/>
        <w:contextualSpacing w:val="0"/>
        <w:rPr>
          <w:b/>
          <w:sz w:val="18"/>
          <w:szCs w:val="18"/>
        </w:rPr>
      </w:pPr>
      <w:r w:rsidRPr="00FF580F">
        <w:rPr>
          <w:sz w:val="18"/>
          <w:szCs w:val="18"/>
        </w:rPr>
        <w:t xml:space="preserve">Bild 3: </w:t>
      </w:r>
      <w:r w:rsidR="00A6505C">
        <w:t>(</w:t>
      </w:r>
      <w:r w:rsidR="00A6505C" w:rsidRPr="00FF580F">
        <w:rPr>
          <w:sz w:val="18"/>
          <w:szCs w:val="18"/>
        </w:rPr>
        <w:t>fraunhofer-vision-contro</w:t>
      </w:r>
      <w:r w:rsidR="00A6505C">
        <w:rPr>
          <w:sz w:val="18"/>
          <w:szCs w:val="18"/>
        </w:rPr>
        <w:t>l-2019-ezrt-</w:t>
      </w:r>
      <w:r w:rsidR="00983B50">
        <w:rPr>
          <w:sz w:val="18"/>
          <w:szCs w:val="18"/>
        </w:rPr>
        <w:t>inverse-</w:t>
      </w:r>
      <w:r w:rsidR="00A6505C">
        <w:rPr>
          <w:sz w:val="18"/>
          <w:szCs w:val="18"/>
        </w:rPr>
        <w:t>deflektometrie-bild3</w:t>
      </w:r>
      <w:r w:rsidR="00A6505C" w:rsidRPr="00FF580F">
        <w:rPr>
          <w:sz w:val="18"/>
          <w:szCs w:val="18"/>
        </w:rPr>
        <w:t>.jpg</w:t>
      </w:r>
      <w:r w:rsidR="00A6505C">
        <w:rPr>
          <w:sz w:val="18"/>
          <w:szCs w:val="18"/>
        </w:rPr>
        <w:t>)</w:t>
      </w:r>
      <w:r w:rsidR="00983B50">
        <w:rPr>
          <w:sz w:val="18"/>
          <w:szCs w:val="18"/>
        </w:rPr>
        <w:br/>
      </w:r>
      <w:r w:rsidRPr="00FF580F">
        <w:rPr>
          <w:sz w:val="18"/>
          <w:szCs w:val="18"/>
        </w:rPr>
        <w:t>Messaufbau zur Inversen Deflektometrie</w:t>
      </w:r>
      <w:r w:rsidR="007D0AD3">
        <w:rPr>
          <w:sz w:val="18"/>
          <w:szCs w:val="18"/>
        </w:rPr>
        <w:t xml:space="preserve"> (Q</w:t>
      </w:r>
      <w:r w:rsidR="00716864">
        <w:rPr>
          <w:sz w:val="18"/>
          <w:szCs w:val="18"/>
        </w:rPr>
        <w:t>uelle: Fraunhofer EZRT).</w:t>
      </w:r>
    </w:p>
    <w:p w:rsidR="00A6505C" w:rsidRDefault="00A6505C" w:rsidP="00FF580F">
      <w:pPr>
        <w:spacing w:after="0" w:line="240" w:lineRule="auto"/>
        <w:contextualSpacing w:val="0"/>
        <w:rPr>
          <w:b/>
          <w:sz w:val="18"/>
          <w:szCs w:val="18"/>
        </w:rPr>
      </w:pPr>
    </w:p>
    <w:p w:rsidR="00CC4983" w:rsidRDefault="00CC4983" w:rsidP="00FF580F">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r>
        <w:rPr>
          <w:sz w:val="18"/>
          <w:szCs w:val="18"/>
        </w:rPr>
        <w:br w:type="page"/>
      </w:r>
    </w:p>
    <w:p w:rsidR="0009301A" w:rsidRDefault="0009301A" w:rsidP="00C46D12">
      <w:pPr>
        <w:rPr>
          <w:b/>
        </w:rPr>
      </w:pPr>
      <w:r w:rsidRPr="00C46D12">
        <w:rPr>
          <w:b/>
        </w:rPr>
        <w:lastRenderedPageBreak/>
        <w:t>Fachkontakt:</w:t>
      </w:r>
    </w:p>
    <w:p w:rsidR="009937D3" w:rsidRPr="00C46D12" w:rsidRDefault="009937D3" w:rsidP="00C46D12">
      <w:pPr>
        <w:rPr>
          <w:b/>
          <w:sz w:val="18"/>
          <w:szCs w:val="18"/>
        </w:rPr>
      </w:pPr>
    </w:p>
    <w:p w:rsidR="00A6505C" w:rsidRPr="00A6505C" w:rsidRDefault="00A6505C" w:rsidP="00A6505C">
      <w:pPr>
        <w:rPr>
          <w:sz w:val="18"/>
          <w:szCs w:val="18"/>
        </w:rPr>
      </w:pPr>
      <w:r w:rsidRPr="00A6505C">
        <w:rPr>
          <w:sz w:val="18"/>
          <w:szCs w:val="18"/>
        </w:rPr>
        <w:t>Fraunhofer Entwicklungszentrum Röntgentechnik EZRT</w:t>
      </w:r>
    </w:p>
    <w:p w:rsidR="00A6505C" w:rsidRDefault="00A6505C" w:rsidP="00A6505C">
      <w:pPr>
        <w:rPr>
          <w:sz w:val="18"/>
          <w:szCs w:val="18"/>
        </w:rPr>
      </w:pPr>
      <w:r w:rsidRPr="00A6505C">
        <w:rPr>
          <w:sz w:val="18"/>
          <w:szCs w:val="18"/>
        </w:rPr>
        <w:t>Dr. Lars S</w:t>
      </w:r>
      <w:r>
        <w:rPr>
          <w:sz w:val="18"/>
          <w:szCs w:val="18"/>
        </w:rPr>
        <w:t>eifert</w:t>
      </w:r>
    </w:p>
    <w:p w:rsidR="00A6505C" w:rsidRPr="00A6505C" w:rsidRDefault="00A6505C" w:rsidP="00A6505C">
      <w:pPr>
        <w:rPr>
          <w:sz w:val="18"/>
          <w:szCs w:val="18"/>
        </w:rPr>
      </w:pPr>
      <w:r w:rsidRPr="00A6505C">
        <w:rPr>
          <w:sz w:val="18"/>
          <w:szCs w:val="18"/>
        </w:rPr>
        <w:t>Flugplatzstraße 75</w:t>
      </w:r>
    </w:p>
    <w:p w:rsidR="00A6505C" w:rsidRPr="00A6505C" w:rsidRDefault="00A6505C" w:rsidP="00A6505C">
      <w:pPr>
        <w:rPr>
          <w:sz w:val="18"/>
          <w:szCs w:val="18"/>
        </w:rPr>
      </w:pPr>
      <w:r w:rsidRPr="00A6505C">
        <w:rPr>
          <w:sz w:val="18"/>
          <w:szCs w:val="18"/>
        </w:rPr>
        <w:t>90768 Fürth, Deutschland</w:t>
      </w:r>
    </w:p>
    <w:p w:rsidR="00A6505C" w:rsidRPr="00A6505C" w:rsidRDefault="00A6505C" w:rsidP="00A6505C">
      <w:pPr>
        <w:rPr>
          <w:sz w:val="18"/>
          <w:szCs w:val="18"/>
        </w:rPr>
      </w:pPr>
      <w:r w:rsidRPr="00A6505C">
        <w:rPr>
          <w:sz w:val="18"/>
          <w:szCs w:val="18"/>
        </w:rPr>
        <w:t>Telefon +49 911 58061-7232</w:t>
      </w:r>
    </w:p>
    <w:p w:rsidR="00C46D12" w:rsidRPr="00A6505C" w:rsidRDefault="00A6505C" w:rsidP="00A6505C">
      <w:pPr>
        <w:rPr>
          <w:sz w:val="18"/>
          <w:szCs w:val="18"/>
        </w:rPr>
      </w:pPr>
      <w:r w:rsidRPr="00A6505C">
        <w:rPr>
          <w:sz w:val="18"/>
          <w:szCs w:val="18"/>
        </w:rPr>
        <w:t>Fax +49 911 58061-7599</w:t>
      </w:r>
    </w:p>
    <w:p w:rsidR="00A6505C" w:rsidRDefault="00A6505C" w:rsidP="00C46D12">
      <w:pPr>
        <w:rPr>
          <w:sz w:val="18"/>
          <w:szCs w:val="18"/>
        </w:rPr>
      </w:pPr>
      <w:r>
        <w:rPr>
          <w:sz w:val="18"/>
          <w:szCs w:val="18"/>
        </w:rPr>
        <w:t xml:space="preserve">E-Mail: </w:t>
      </w:r>
      <w:r w:rsidRPr="0097670A">
        <w:rPr>
          <w:sz w:val="18"/>
          <w:szCs w:val="18"/>
        </w:rPr>
        <w:t>lars.seifert@iis.fraunhofer.de</w:t>
      </w:r>
    </w:p>
    <w:p w:rsidR="0097670A" w:rsidRDefault="0097670A" w:rsidP="00C46D12">
      <w:pPr>
        <w:rPr>
          <w:sz w:val="18"/>
          <w:szCs w:val="18"/>
        </w:rPr>
      </w:pPr>
      <w:r w:rsidRPr="0097670A">
        <w:rPr>
          <w:sz w:val="18"/>
          <w:szCs w:val="18"/>
        </w:rPr>
        <w:t>www.iis.fraunhofer.de/de/ff/zfp.html</w:t>
      </w:r>
    </w:p>
    <w:p w:rsidR="0097670A" w:rsidRDefault="0097670A" w:rsidP="00C46D12">
      <w:pPr>
        <w:rPr>
          <w:sz w:val="18"/>
          <w:szCs w:val="18"/>
        </w:rPr>
      </w:pPr>
    </w:p>
    <w:p w:rsidR="0009301A" w:rsidRPr="0097670A" w:rsidRDefault="0009301A" w:rsidP="00C46D12">
      <w:pPr>
        <w:rPr>
          <w:sz w:val="18"/>
          <w:szCs w:val="18"/>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5" w:rsidRDefault="004A75A5">
      <w:r>
        <w:separator/>
      </w:r>
    </w:p>
    <w:p w:rsidR="004A75A5" w:rsidRDefault="004A75A5"/>
    <w:p w:rsidR="004A75A5" w:rsidRDefault="004A75A5"/>
    <w:p w:rsidR="004A75A5" w:rsidRDefault="004A75A5"/>
  </w:endnote>
  <w:endnote w:type="continuationSeparator" w:id="0">
    <w:p w:rsidR="004A75A5" w:rsidRDefault="004A75A5">
      <w:r>
        <w:continuationSeparator/>
      </w:r>
    </w:p>
    <w:p w:rsidR="004A75A5" w:rsidRDefault="004A75A5"/>
    <w:p w:rsidR="004A75A5" w:rsidRDefault="004A75A5"/>
    <w:p w:rsidR="004A75A5" w:rsidRDefault="004A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7670A" w:rsidRPr="0097670A">
                            <w:rPr>
                              <w:rStyle w:val="09FuzeileAuszeichnung65811"/>
                              <w:rFonts w:ascii="Frutiger LT Com 65 Bold" w:hAnsi="Frutiger LT Com 65 Bold"/>
                              <w:b w:val="0"/>
                            </w:rPr>
                            <w:t>Dr. Lars Seifert</w:t>
                          </w:r>
                          <w:r w:rsidR="0095592D">
                            <w:t> </w:t>
                          </w:r>
                          <w:r w:rsidR="0095592D">
                            <w:t>|</w:t>
                          </w:r>
                          <w:r w:rsidR="0095592D">
                            <w:t> </w:t>
                          </w:r>
                          <w:r w:rsidR="0097670A" w:rsidRPr="0097670A">
                            <w:t>Telefon +49 911 58061-7232</w:t>
                          </w:r>
                          <w:r w:rsidR="0095592D">
                            <w:t> </w:t>
                          </w:r>
                          <w:r w:rsidR="0095592D">
                            <w:t>|</w:t>
                          </w:r>
                          <w:r w:rsidR="0095592D">
                            <w:t> </w:t>
                          </w:r>
                          <w:r w:rsidR="0097670A" w:rsidRPr="0097670A">
                            <w:t>lars.seifert@iis.fraunhofer.de</w:t>
                          </w:r>
                          <w:r w:rsidR="00983B50">
                            <w:t> </w:t>
                          </w:r>
                          <w:r w:rsidR="0095592D">
                            <w:t>|</w:t>
                          </w:r>
                          <w:r w:rsidR="00983B50">
                            <w:t> </w:t>
                          </w:r>
                          <w:r w:rsidR="0097670A" w:rsidRPr="0097670A">
                            <w:t>Fraunhofer Entwicklungszentrum Röntgentechnik EZRT</w:t>
                          </w:r>
                          <w:r w:rsidR="0095592D">
                            <w:t> </w:t>
                          </w:r>
                          <w:r w:rsidR="0095592D">
                            <w:t>|</w:t>
                          </w:r>
                          <w:r w:rsidR="0095592D">
                            <w:t> </w:t>
                          </w:r>
                          <w:r w:rsidR="0097670A">
                            <w:t>Flugplatzstraße 75</w:t>
                          </w:r>
                          <w:r w:rsidR="0095592D">
                            <w:t> </w:t>
                          </w:r>
                          <w:r w:rsidR="0095592D">
                            <w:t>|</w:t>
                          </w:r>
                          <w:r w:rsidR="0095592D">
                            <w:t> </w:t>
                          </w:r>
                          <w:r w:rsidR="0097670A" w:rsidRPr="0097670A">
                            <w:t>90768 Fürth</w:t>
                          </w:r>
                          <w:r w:rsidR="00983B50">
                            <w:t> </w:t>
                          </w:r>
                          <w:r w:rsidR="0095592D">
                            <w:t>|</w:t>
                          </w:r>
                          <w:r w:rsidR="00983B50">
                            <w:t> </w:t>
                          </w:r>
                          <w:r w:rsidR="0097670A" w:rsidRPr="0097670A">
                            <w:t>www.iis.fraunhofer.de/de/ff/zfp.html</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983B50">
                            <w:t> </w:t>
                          </w:r>
                          <w:r>
                            <w:t>|</w:t>
                          </w:r>
                          <w:r w:rsidR="00983B50">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7670A" w:rsidRPr="0097670A">
                      <w:rPr>
                        <w:rStyle w:val="09FuzeileAuszeichnung65811"/>
                        <w:rFonts w:ascii="Frutiger LT Com 65 Bold" w:hAnsi="Frutiger LT Com 65 Bold"/>
                        <w:b w:val="0"/>
                      </w:rPr>
                      <w:t>Dr. Lars Seifert</w:t>
                    </w:r>
                    <w:r w:rsidR="0095592D">
                      <w:t> </w:t>
                    </w:r>
                    <w:r w:rsidR="0095592D">
                      <w:t>|</w:t>
                    </w:r>
                    <w:r w:rsidR="0095592D">
                      <w:t> </w:t>
                    </w:r>
                    <w:r w:rsidR="0097670A" w:rsidRPr="0097670A">
                      <w:t>Telefon +49 911 58061-7232</w:t>
                    </w:r>
                    <w:r w:rsidR="0095592D">
                      <w:t> </w:t>
                    </w:r>
                    <w:r w:rsidR="0095592D">
                      <w:t>|</w:t>
                    </w:r>
                    <w:r w:rsidR="0095592D">
                      <w:t> </w:t>
                    </w:r>
                    <w:r w:rsidR="0097670A" w:rsidRPr="0097670A">
                      <w:t>lars.seifert@iis.fraunhofer.de</w:t>
                    </w:r>
                    <w:r w:rsidR="00983B50">
                      <w:t> </w:t>
                    </w:r>
                    <w:r w:rsidR="0095592D">
                      <w:t>|</w:t>
                    </w:r>
                    <w:r w:rsidR="00983B50">
                      <w:t> </w:t>
                    </w:r>
                    <w:r w:rsidR="0097670A" w:rsidRPr="0097670A">
                      <w:t>Fraunhofer Entwicklungszentrum Röntgentechnik EZRT</w:t>
                    </w:r>
                    <w:r w:rsidR="0095592D">
                      <w:t> </w:t>
                    </w:r>
                    <w:r w:rsidR="0095592D">
                      <w:t>|</w:t>
                    </w:r>
                    <w:r w:rsidR="0095592D">
                      <w:t> </w:t>
                    </w:r>
                    <w:r w:rsidR="0097670A">
                      <w:t>Flugplatzstraße 75</w:t>
                    </w:r>
                    <w:r w:rsidR="0095592D">
                      <w:t> </w:t>
                    </w:r>
                    <w:r w:rsidR="0095592D">
                      <w:t>|</w:t>
                    </w:r>
                    <w:r w:rsidR="0095592D">
                      <w:t> </w:t>
                    </w:r>
                    <w:r w:rsidR="0097670A" w:rsidRPr="0097670A">
                      <w:t>90768 Fürth</w:t>
                    </w:r>
                    <w:r w:rsidR="00983B50">
                      <w:t> </w:t>
                    </w:r>
                    <w:r w:rsidR="0095592D">
                      <w:t>|</w:t>
                    </w:r>
                    <w:r w:rsidR="00983B50">
                      <w:t> </w:t>
                    </w:r>
                    <w:r w:rsidR="0097670A" w:rsidRPr="0097670A">
                      <w:t>www.iis.fraunhofer.de/de/ff/zfp.html</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983B50">
                      <w:t> </w:t>
                    </w:r>
                    <w:r>
                      <w:t>|</w:t>
                    </w:r>
                    <w:r w:rsidR="00983B50">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5" w:rsidRDefault="004A75A5"/>
    <w:p w:rsidR="004A75A5" w:rsidRDefault="004A75A5"/>
    <w:p w:rsidR="004A75A5" w:rsidRDefault="004A75A5"/>
    <w:p w:rsidR="004A75A5" w:rsidRDefault="004A75A5"/>
  </w:footnote>
  <w:footnote w:type="continuationSeparator" w:id="0">
    <w:p w:rsidR="004A75A5" w:rsidRDefault="004A75A5">
      <w:r>
        <w:continuationSeparator/>
      </w:r>
    </w:p>
    <w:p w:rsidR="004A75A5" w:rsidRDefault="004A75A5"/>
    <w:p w:rsidR="004A75A5" w:rsidRDefault="004A75A5"/>
    <w:p w:rsidR="004A75A5" w:rsidRDefault="004A75A5"/>
  </w:footnote>
  <w:footnote w:type="continuationNotice" w:id="1">
    <w:p w:rsidR="004A75A5" w:rsidRDefault="004A75A5"/>
    <w:p w:rsidR="004A75A5" w:rsidRDefault="004A75A5"/>
    <w:p w:rsidR="004A75A5" w:rsidRDefault="004A75A5"/>
    <w:p w:rsidR="004A75A5" w:rsidRDefault="004A7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8B03EF"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983B50">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8B03EF">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8B03EF">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5427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16864"/>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077"/>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0AD3"/>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3EF"/>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7670A"/>
    <w:rsid w:val="00981F25"/>
    <w:rsid w:val="00983B50"/>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6505C"/>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51DA"/>
    <w:rsid w:val="00FD637E"/>
    <w:rsid w:val="00FD7368"/>
    <w:rsid w:val="00FE05C1"/>
    <w:rsid w:val="00FE4007"/>
    <w:rsid w:val="00FE75CF"/>
    <w:rsid w:val="00FF3C38"/>
    <w:rsid w:val="00FF4EE4"/>
    <w:rsid w:val="00FF5056"/>
    <w:rsid w:val="00FF5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2321CC4E"/>
  <w15:docId w15:val="{BDB20FA8-C045-4A49-B0EF-6279395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AB96-17CE-47BA-91A8-E0400DA7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7</cp:revision>
  <cp:lastPrinted>2018-02-20T11:43:00Z</cp:lastPrinted>
  <dcterms:created xsi:type="dcterms:W3CDTF">2019-02-28T09:32:00Z</dcterms:created>
  <dcterms:modified xsi:type="dcterms:W3CDTF">2019-05-08T09:28:00Z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