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E34F62" w:rsidRPr="00E96E35">
        <w:rPr>
          <w:szCs w:val="48"/>
        </w:rPr>
        <w:t>resse</w:t>
      </w:r>
      <w:r w:rsidR="00485F26">
        <w:rPr>
          <w:szCs w:val="48"/>
        </w:rPr>
        <w:t>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666EC7" w:rsidP="0095592D">
      <w:pPr>
        <w:spacing w:line="240" w:lineRule="auto"/>
        <w:contextualSpacing w:val="0"/>
        <w:rPr>
          <w:rFonts w:eastAsiaTheme="minorHAnsi" w:cstheme="minorBidi"/>
          <w:b/>
          <w:sz w:val="28"/>
          <w:szCs w:val="22"/>
          <w:lang w:eastAsia="en-US"/>
        </w:rPr>
      </w:pPr>
      <w:r w:rsidRPr="00666EC7">
        <w:rPr>
          <w:rFonts w:eastAsiaTheme="minorHAnsi" w:cstheme="minorBidi"/>
          <w:b/>
          <w:sz w:val="28"/>
          <w:szCs w:val="22"/>
          <w:lang w:eastAsia="en-US"/>
        </w:rPr>
        <w:t>Mobiler Hands</w:t>
      </w:r>
      <w:r w:rsidR="00A9163F">
        <w:rPr>
          <w:rFonts w:eastAsiaTheme="minorHAnsi" w:cstheme="minorBidi"/>
          <w:b/>
          <w:sz w:val="28"/>
          <w:szCs w:val="22"/>
          <w:lang w:eastAsia="en-US"/>
        </w:rPr>
        <w:t>canner für die zerstörungsfreie</w:t>
      </w:r>
      <w:r w:rsidR="00A9163F">
        <w:rPr>
          <w:rFonts w:eastAsiaTheme="minorHAnsi" w:cstheme="minorBidi"/>
          <w:b/>
          <w:sz w:val="28"/>
          <w:szCs w:val="22"/>
          <w:lang w:eastAsia="en-US"/>
        </w:rPr>
        <w:br/>
      </w:r>
      <w:r w:rsidRPr="00666EC7">
        <w:rPr>
          <w:rFonts w:eastAsiaTheme="minorHAnsi" w:cstheme="minorBidi"/>
          <w:b/>
          <w:sz w:val="28"/>
          <w:szCs w:val="22"/>
          <w:lang w:eastAsia="en-US"/>
        </w:rPr>
        <w:t>Terahertz-Prüfung</w:t>
      </w:r>
      <w:r w:rsidRPr="00666EC7">
        <w:rPr>
          <w:rFonts w:eastAsiaTheme="minorHAnsi" w:cstheme="minorBidi"/>
          <w:b/>
          <w:sz w:val="28"/>
          <w:szCs w:val="22"/>
          <w:lang w:eastAsia="en-US"/>
        </w:rPr>
        <w:tab/>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666EC7" w:rsidP="0095592D">
      <w:pPr>
        <w:rPr>
          <w:b/>
          <w:szCs w:val="20"/>
        </w:rPr>
      </w:pPr>
      <w:r w:rsidRPr="00666EC7">
        <w:rPr>
          <w:b/>
          <w:szCs w:val="20"/>
        </w:rPr>
        <w:t>Das Fraunhofer ITWM hat einen mobilen Handscanner für die zerstörungsfreie Terahertz-Prüfung entwickelt, d</w:t>
      </w:r>
      <w:r w:rsidR="00A9163F">
        <w:rPr>
          <w:b/>
          <w:szCs w:val="20"/>
        </w:rPr>
        <w:t>er bei der Control 2019</w:t>
      </w:r>
      <w:r w:rsidRPr="00666EC7">
        <w:rPr>
          <w:b/>
          <w:szCs w:val="20"/>
        </w:rPr>
        <w:t xml:space="preserve"> vorgestellt wird. Da der Sensor zum Bauteil gebracht wird und nicht umgekehrt, ermöglicht der mobile Handscanner eine höhere Flexibilität hinsichtlich des Orts der Messung. Darüber hinaus lässt er sich auch besser an die Bauteilgeometrie anpassen und ist somit flexibel hinsichtlich der Messanordnung. Mögliche Anwendungsbereiche finden sich in Bereichen wie Wartung, Service und Reparatur, insbesondere an festverbauten, nicht transportablen Objekten. Typische Materialien sind Kunststoff, Faserverbund oder Keramik i</w:t>
      </w:r>
      <w:bookmarkStart w:id="4" w:name="_GoBack"/>
      <w:bookmarkEnd w:id="4"/>
      <w:r w:rsidRPr="00666EC7">
        <w:rPr>
          <w:b/>
          <w:szCs w:val="20"/>
        </w:rPr>
        <w:t>n Branchen wie Automobil, M</w:t>
      </w:r>
      <w:r>
        <w:rPr>
          <w:b/>
          <w:szCs w:val="20"/>
        </w:rPr>
        <w:t>aschinenbau oder Rohrhersteller</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666EC7" w:rsidRPr="00666EC7" w:rsidRDefault="00666EC7" w:rsidP="00666EC7">
      <w:pPr>
        <w:rPr>
          <w:i/>
          <w:szCs w:val="20"/>
        </w:rPr>
      </w:pPr>
      <w:r w:rsidRPr="00666EC7">
        <w:rPr>
          <w:i/>
          <w:szCs w:val="20"/>
        </w:rPr>
        <w:t>Mobiler Terahertz-Handscanner für die zerstörungsfreie Prüfung</w:t>
      </w:r>
    </w:p>
    <w:p w:rsidR="00666EC7" w:rsidRDefault="00666EC7" w:rsidP="00666EC7">
      <w:pPr>
        <w:rPr>
          <w:b/>
          <w:szCs w:val="20"/>
        </w:rPr>
      </w:pPr>
    </w:p>
    <w:p w:rsidR="00666EC7" w:rsidRPr="00666EC7" w:rsidRDefault="00666EC7" w:rsidP="00666EC7">
      <w:pPr>
        <w:rPr>
          <w:b/>
          <w:szCs w:val="20"/>
        </w:rPr>
      </w:pPr>
      <w:r w:rsidRPr="00666EC7">
        <w:rPr>
          <w:szCs w:val="20"/>
        </w:rPr>
        <w:t xml:space="preserve">Die meisten elektrisch nicht leitfähigen Werkstoffe wie Kunststoffe, Keramik und Schäume sind für Terahertz-Wellen transparent und somit ist eine zerstörungsfreie Prüfung von Bauteilen aus solchen Materialien möglich. </w:t>
      </w:r>
    </w:p>
    <w:p w:rsidR="004F7CE8" w:rsidRDefault="004F7CE8" w:rsidP="00666EC7">
      <w:pPr>
        <w:rPr>
          <w:szCs w:val="20"/>
        </w:rPr>
      </w:pPr>
    </w:p>
    <w:p w:rsidR="00666EC7" w:rsidRPr="00666EC7" w:rsidRDefault="00666EC7" w:rsidP="00666EC7">
      <w:pPr>
        <w:rPr>
          <w:szCs w:val="20"/>
        </w:rPr>
      </w:pPr>
      <w:r w:rsidRPr="00666EC7">
        <w:rPr>
          <w:szCs w:val="20"/>
        </w:rPr>
        <w:t xml:space="preserve">Im Gegensatz zur Ultraschall-Prüfung ist bei der Terahertz-Prüfung allerdings kein Koppelmedium notwendig. Zudem ist die Terahertz-Strahlung nicht ionisierend und daher für den Menschen ungefährlich. Nach vielen Jahren der Forschung und Entwicklung steht mittlerweile eine Vielzahl von Terahertz-Produkten kommerziell zur Verfügung. Da die Terahertz-Sensoren im Allgemeinen jedoch nur punktuelle Messungen erlauben, werden diese für linien- und flächenartige Untersuchungen oftmals in einen stationären Scanner integriert. Somit ist die Anordnung meist nicht mobil und die zu untersuchenden Bauteile müssen zum Prüfsystem gebracht werden, was manchmal aufgrund der Bauteilgröße oder des stationären Einbaus nicht möglich ist. </w:t>
      </w:r>
    </w:p>
    <w:p w:rsidR="004F7CE8" w:rsidRDefault="004F7CE8" w:rsidP="00666EC7">
      <w:pPr>
        <w:rPr>
          <w:szCs w:val="20"/>
        </w:rPr>
      </w:pPr>
    </w:p>
    <w:p w:rsidR="00666EC7" w:rsidRPr="00666EC7" w:rsidRDefault="00666EC7" w:rsidP="00666EC7">
      <w:pPr>
        <w:rPr>
          <w:szCs w:val="20"/>
        </w:rPr>
      </w:pPr>
      <w:r w:rsidRPr="00666EC7">
        <w:rPr>
          <w:szCs w:val="20"/>
        </w:rPr>
        <w:lastRenderedPageBreak/>
        <w:t>Das Fraunhofer-Institut für Techno- und Wirtschaftsmathematik ITWM, Kaiserslautern, hat daher einen mobilen Handscanner für die zerstörungsfreie Terahertz-Prüfung entwickelt, der bei der Control 2019 vorgestellt wird. Da der Sensor zum Bauteil gebracht wird und nicht umgekehrt, ermöglicht der mobile Handscanner eine höhere Flexibilität hinsichtlich des Orts der Messung. Darüber lässt er sich auch besser an die Bauteilgeometrie anpassen und ist somit flexibel hinsichtlich der Messanordnung.</w:t>
      </w:r>
    </w:p>
    <w:p w:rsidR="00666EC7" w:rsidRPr="00666EC7" w:rsidRDefault="00666EC7" w:rsidP="00666EC7">
      <w:pPr>
        <w:rPr>
          <w:szCs w:val="20"/>
        </w:rPr>
      </w:pPr>
    </w:p>
    <w:p w:rsidR="00666EC7" w:rsidRPr="00666EC7" w:rsidRDefault="00666EC7" w:rsidP="00666EC7">
      <w:pPr>
        <w:rPr>
          <w:i/>
          <w:szCs w:val="20"/>
        </w:rPr>
      </w:pPr>
      <w:r w:rsidRPr="00666EC7">
        <w:rPr>
          <w:i/>
          <w:szCs w:val="20"/>
        </w:rPr>
        <w:t>Anwendungsbereich des mobilen Terahertz-Handscanners</w:t>
      </w:r>
    </w:p>
    <w:p w:rsidR="00666EC7" w:rsidRDefault="00666EC7" w:rsidP="00666EC7">
      <w:pPr>
        <w:rPr>
          <w:szCs w:val="20"/>
        </w:rPr>
      </w:pPr>
    </w:p>
    <w:p w:rsidR="00666EC7" w:rsidRDefault="00666EC7" w:rsidP="00666EC7">
      <w:pPr>
        <w:rPr>
          <w:szCs w:val="20"/>
        </w:rPr>
      </w:pPr>
      <w:r w:rsidRPr="00666EC7">
        <w:rPr>
          <w:szCs w:val="20"/>
        </w:rPr>
        <w:t>Mögliche Anwendungsbereiche des mobilen Terahertz-Handscanners liegen daher typischerweise in Bereichen wie Wartung, Service oder Reparatur, aber auch schwer zugängliche Bauteile können geprüft werden, wie z.B.</w:t>
      </w:r>
    </w:p>
    <w:p w:rsidR="00666EC7" w:rsidRPr="00666EC7" w:rsidRDefault="00666EC7" w:rsidP="00666EC7">
      <w:pPr>
        <w:rPr>
          <w:szCs w:val="20"/>
        </w:rPr>
      </w:pPr>
    </w:p>
    <w:p w:rsidR="00666EC7" w:rsidRPr="00666EC7" w:rsidRDefault="00666EC7" w:rsidP="00666EC7">
      <w:pPr>
        <w:numPr>
          <w:ilvl w:val="0"/>
          <w:numId w:val="50"/>
        </w:numPr>
        <w:rPr>
          <w:szCs w:val="20"/>
        </w:rPr>
      </w:pPr>
      <w:r w:rsidRPr="00666EC7">
        <w:rPr>
          <w:szCs w:val="20"/>
        </w:rPr>
        <w:t>Inspektion von Kunststoff- und beschichteten Metallrohren während der Produktion</w:t>
      </w:r>
    </w:p>
    <w:p w:rsidR="00666EC7" w:rsidRPr="00666EC7" w:rsidRDefault="00666EC7" w:rsidP="00666EC7">
      <w:pPr>
        <w:numPr>
          <w:ilvl w:val="0"/>
          <w:numId w:val="50"/>
        </w:numPr>
        <w:rPr>
          <w:szCs w:val="20"/>
        </w:rPr>
      </w:pPr>
      <w:r w:rsidRPr="00666EC7">
        <w:rPr>
          <w:szCs w:val="20"/>
        </w:rPr>
        <w:t>Prüfung von isolierten und speziell geschützten Rohren (z. B. für Fernwärme oder Meeresleitung) während Produktion, Montage und Service</w:t>
      </w:r>
    </w:p>
    <w:p w:rsidR="00666EC7" w:rsidRPr="00666EC7" w:rsidRDefault="00666EC7" w:rsidP="00666EC7">
      <w:pPr>
        <w:numPr>
          <w:ilvl w:val="0"/>
          <w:numId w:val="50"/>
        </w:numPr>
        <w:rPr>
          <w:szCs w:val="20"/>
        </w:rPr>
      </w:pPr>
      <w:r w:rsidRPr="00666EC7">
        <w:rPr>
          <w:szCs w:val="20"/>
        </w:rPr>
        <w:t>Prüfung von Baugruppen aus Faserverbundwerkstoffen wie Radome oder Zuganbauteile während Produktion, Service und Reparatur</w:t>
      </w:r>
    </w:p>
    <w:p w:rsidR="00666EC7" w:rsidRDefault="00666EC7" w:rsidP="00666EC7">
      <w:pPr>
        <w:rPr>
          <w:szCs w:val="20"/>
        </w:rPr>
      </w:pPr>
    </w:p>
    <w:p w:rsidR="0095592D" w:rsidRPr="00A2274F" w:rsidRDefault="00666EC7" w:rsidP="00666EC7">
      <w:pPr>
        <w:rPr>
          <w:szCs w:val="20"/>
        </w:rPr>
      </w:pPr>
      <w:r w:rsidRPr="00666EC7">
        <w:rPr>
          <w:szCs w:val="20"/>
        </w:rPr>
        <w:t xml:space="preserve">Im Prinzip werden alle Bereiche angesprochen, in denen nichtmetallische Werkstoffe verarbeitet werden, insbesondere Hersteller und Verarbeiter von Kunststoff, Faserverbund und Keramik in Branchen wie Automobil, Maschinenbau oder Rohrhersteller und auch </w:t>
      </w:r>
      <w:r>
        <w:rPr>
          <w:szCs w:val="20"/>
        </w:rPr>
        <w:t>Service-Dienstleister</w:t>
      </w:r>
      <w:r w:rsidR="0095592D" w:rsidRPr="00A2274F">
        <w:rPr>
          <w:szCs w:val="20"/>
        </w:rPr>
        <w:t>.</w:t>
      </w:r>
    </w:p>
    <w:p w:rsidR="002041E7" w:rsidRPr="002555E5" w:rsidRDefault="002041E7" w:rsidP="002041E7">
      <w:pPr>
        <w:pStyle w:val="berschriftimText"/>
      </w:pPr>
      <w:r w:rsidRPr="002555E5">
        <w:t>Bilder in Druckqualität</w:t>
      </w:r>
    </w:p>
    <w:p w:rsidR="002041E7" w:rsidRDefault="002041E7" w:rsidP="002041E7">
      <w:pPr>
        <w:spacing w:after="200" w:line="276" w:lineRule="auto"/>
        <w:contextualSpacing w:val="0"/>
        <w:rPr>
          <w:sz w:val="18"/>
          <w:szCs w:val="18"/>
        </w:rPr>
      </w:pPr>
      <w:r w:rsidRPr="0095592D">
        <w:rPr>
          <w:sz w:val="18"/>
          <w:szCs w:val="18"/>
        </w:rPr>
        <w:t>Bild 1: (</w:t>
      </w:r>
      <w:r w:rsidR="006406C0" w:rsidRPr="006406C0">
        <w:rPr>
          <w:sz w:val="18"/>
          <w:szCs w:val="18"/>
        </w:rPr>
        <w:t>fraunhofer-vison-control-2019-itwm-handscanner-terahertz-pruefung-bild1.jpg</w:t>
      </w:r>
      <w:r w:rsidRPr="0095592D">
        <w:rPr>
          <w:sz w:val="18"/>
          <w:szCs w:val="18"/>
        </w:rPr>
        <w:t xml:space="preserve">) </w:t>
      </w:r>
      <w:r w:rsidRPr="0095592D">
        <w:rPr>
          <w:sz w:val="18"/>
          <w:szCs w:val="18"/>
        </w:rPr>
        <w:br/>
        <w:t>(Quelle: Fraunhofer I</w:t>
      </w:r>
      <w:r w:rsidR="006406C0">
        <w:rPr>
          <w:sz w:val="18"/>
          <w:szCs w:val="18"/>
        </w:rPr>
        <w:t>TWM</w:t>
      </w:r>
      <w:r w:rsidRPr="0095592D">
        <w:rPr>
          <w:sz w:val="18"/>
          <w:szCs w:val="18"/>
        </w:rPr>
        <w:t>).</w:t>
      </w:r>
    </w:p>
    <w:p w:rsidR="006406C0" w:rsidRPr="0095592D" w:rsidRDefault="006406C0" w:rsidP="006406C0">
      <w:pPr>
        <w:spacing w:after="200" w:line="276" w:lineRule="auto"/>
        <w:contextualSpacing w:val="0"/>
        <w:rPr>
          <w:sz w:val="18"/>
          <w:szCs w:val="18"/>
        </w:rPr>
      </w:pPr>
      <w:r>
        <w:rPr>
          <w:sz w:val="18"/>
          <w:szCs w:val="18"/>
        </w:rPr>
        <w:t>Bild 2</w:t>
      </w:r>
      <w:r w:rsidRPr="0095592D">
        <w:rPr>
          <w:sz w:val="18"/>
          <w:szCs w:val="18"/>
        </w:rPr>
        <w:t>: (</w:t>
      </w:r>
      <w:r w:rsidRPr="006406C0">
        <w:rPr>
          <w:sz w:val="18"/>
          <w:szCs w:val="18"/>
        </w:rPr>
        <w:t>fraunhofer-vison-control-2019-itwm-hand</w:t>
      </w:r>
      <w:r>
        <w:rPr>
          <w:sz w:val="18"/>
          <w:szCs w:val="18"/>
        </w:rPr>
        <w:t>scanner-terahertz-pruefung-bild2</w:t>
      </w:r>
      <w:r w:rsidRPr="006406C0">
        <w:rPr>
          <w:sz w:val="18"/>
          <w:szCs w:val="18"/>
        </w:rPr>
        <w:t>.jpg</w:t>
      </w:r>
      <w:r w:rsidRPr="0095592D">
        <w:rPr>
          <w:sz w:val="18"/>
          <w:szCs w:val="18"/>
        </w:rPr>
        <w:t xml:space="preserve">) </w:t>
      </w:r>
      <w:r w:rsidRPr="0095592D">
        <w:rPr>
          <w:sz w:val="18"/>
          <w:szCs w:val="18"/>
        </w:rPr>
        <w:br/>
        <w:t>(Quelle: Fraunhofer I</w:t>
      </w:r>
      <w:r>
        <w:rPr>
          <w:sz w:val="18"/>
          <w:szCs w:val="18"/>
        </w:rPr>
        <w:t>TWM</w:t>
      </w:r>
      <w:r w:rsidRPr="0095592D">
        <w:rPr>
          <w:sz w:val="18"/>
          <w:szCs w:val="18"/>
        </w:rPr>
        <w:t>).</w:t>
      </w:r>
    </w:p>
    <w:p w:rsidR="006406C0" w:rsidRPr="0095592D" w:rsidRDefault="006406C0" w:rsidP="002041E7">
      <w:pPr>
        <w:spacing w:after="200" w:line="276" w:lineRule="auto"/>
        <w:contextualSpacing w:val="0"/>
        <w:rPr>
          <w:sz w:val="18"/>
          <w:szCs w:val="18"/>
        </w:rPr>
      </w:pPr>
      <w:r>
        <w:rPr>
          <w:sz w:val="18"/>
          <w:szCs w:val="18"/>
        </w:rPr>
        <w:t>Bild 3</w:t>
      </w:r>
      <w:r w:rsidRPr="0095592D">
        <w:rPr>
          <w:sz w:val="18"/>
          <w:szCs w:val="18"/>
        </w:rPr>
        <w:t>: (</w:t>
      </w:r>
      <w:r w:rsidRPr="006406C0">
        <w:rPr>
          <w:sz w:val="18"/>
          <w:szCs w:val="18"/>
        </w:rPr>
        <w:t>fraunhofer-vison-control-2019-itwm-hand</w:t>
      </w:r>
      <w:r w:rsidR="00CD702E">
        <w:rPr>
          <w:sz w:val="18"/>
          <w:szCs w:val="18"/>
        </w:rPr>
        <w:t>scanner-terahertz-pruefung-bild3</w:t>
      </w:r>
      <w:r w:rsidRPr="006406C0">
        <w:rPr>
          <w:sz w:val="18"/>
          <w:szCs w:val="18"/>
        </w:rPr>
        <w:t>.jpg</w:t>
      </w:r>
      <w:r w:rsidRPr="0095592D">
        <w:rPr>
          <w:sz w:val="18"/>
          <w:szCs w:val="18"/>
        </w:rPr>
        <w:t xml:space="preserve">) </w:t>
      </w:r>
      <w:r w:rsidRPr="0095592D">
        <w:rPr>
          <w:sz w:val="18"/>
          <w:szCs w:val="18"/>
        </w:rPr>
        <w:br/>
        <w:t>(Quelle: Fraunhofer I</w:t>
      </w:r>
      <w:r>
        <w:rPr>
          <w:sz w:val="18"/>
          <w:szCs w:val="18"/>
        </w:rPr>
        <w:t>TWM</w:t>
      </w:r>
      <w:r w:rsidRPr="0095592D">
        <w:rPr>
          <w:sz w:val="18"/>
          <w:szCs w:val="18"/>
        </w:rPr>
        <w:t>).</w:t>
      </w:r>
    </w:p>
    <w:p w:rsidR="00CC4983" w:rsidRDefault="00CC4983" w:rsidP="00C46D12">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r>
        <w:rPr>
          <w:sz w:val="18"/>
          <w:szCs w:val="18"/>
        </w:rPr>
        <w:br w:type="page"/>
      </w:r>
    </w:p>
    <w:p w:rsidR="0009301A" w:rsidRDefault="0009301A" w:rsidP="00C46D12">
      <w:pPr>
        <w:rPr>
          <w:b/>
        </w:rPr>
      </w:pPr>
      <w:r w:rsidRPr="00C46D12">
        <w:rPr>
          <w:b/>
        </w:rPr>
        <w:lastRenderedPageBreak/>
        <w:t>Fachkontakt:</w:t>
      </w:r>
    </w:p>
    <w:p w:rsidR="009937D3" w:rsidRPr="00C46D12" w:rsidRDefault="009937D3" w:rsidP="00C46D12">
      <w:pPr>
        <w:rPr>
          <w:b/>
          <w:sz w:val="18"/>
          <w:szCs w:val="18"/>
        </w:rPr>
      </w:pPr>
    </w:p>
    <w:p w:rsidR="00666EC7" w:rsidRDefault="00666EC7" w:rsidP="0095592D">
      <w:pPr>
        <w:rPr>
          <w:sz w:val="18"/>
          <w:szCs w:val="18"/>
        </w:rPr>
      </w:pPr>
      <w:r w:rsidRPr="00666EC7">
        <w:rPr>
          <w:sz w:val="18"/>
          <w:szCs w:val="18"/>
        </w:rPr>
        <w:t>Fraunhofer-Institut für Techno- und Wirtschaftsmathematik ITWM</w:t>
      </w:r>
    </w:p>
    <w:p w:rsidR="00666EC7" w:rsidRDefault="00666EC7" w:rsidP="0095592D">
      <w:pPr>
        <w:rPr>
          <w:sz w:val="18"/>
          <w:szCs w:val="18"/>
        </w:rPr>
      </w:pPr>
      <w:r w:rsidRPr="00666EC7">
        <w:rPr>
          <w:sz w:val="18"/>
          <w:szCs w:val="18"/>
        </w:rPr>
        <w:t>Dr. Joachim Jonuscheit</w:t>
      </w:r>
    </w:p>
    <w:p w:rsidR="00666EC7" w:rsidRDefault="00666EC7" w:rsidP="0095592D">
      <w:pPr>
        <w:rPr>
          <w:sz w:val="18"/>
          <w:szCs w:val="18"/>
        </w:rPr>
      </w:pPr>
      <w:r w:rsidRPr="00666EC7">
        <w:rPr>
          <w:sz w:val="18"/>
          <w:szCs w:val="18"/>
        </w:rPr>
        <w:t>Fraunhofer-Platz 1</w:t>
      </w:r>
    </w:p>
    <w:p w:rsidR="00666EC7" w:rsidRDefault="00666EC7" w:rsidP="0095592D">
      <w:r>
        <w:t>67663 Kaiserslautern</w:t>
      </w:r>
    </w:p>
    <w:p w:rsidR="0095592D" w:rsidRPr="00FB33F2" w:rsidRDefault="0095592D" w:rsidP="0095592D">
      <w:pPr>
        <w:rPr>
          <w:sz w:val="18"/>
          <w:szCs w:val="18"/>
        </w:rPr>
      </w:pPr>
      <w:r w:rsidRPr="00FB33F2">
        <w:rPr>
          <w:sz w:val="18"/>
          <w:szCs w:val="18"/>
        </w:rPr>
        <w:t xml:space="preserve">Telefon </w:t>
      </w:r>
      <w:r w:rsidR="00666EC7" w:rsidRPr="00666EC7">
        <w:rPr>
          <w:sz w:val="18"/>
          <w:szCs w:val="18"/>
        </w:rPr>
        <w:t>+49 631 31600-4911</w:t>
      </w:r>
    </w:p>
    <w:p w:rsidR="0095592D" w:rsidRPr="00666EC7" w:rsidRDefault="0095592D" w:rsidP="00666EC7">
      <w:pPr>
        <w:rPr>
          <w:sz w:val="18"/>
          <w:szCs w:val="18"/>
        </w:rPr>
      </w:pPr>
      <w:r>
        <w:rPr>
          <w:sz w:val="18"/>
          <w:szCs w:val="18"/>
        </w:rPr>
        <w:t xml:space="preserve">Fax </w:t>
      </w:r>
      <w:r w:rsidR="00666EC7" w:rsidRPr="00666EC7">
        <w:rPr>
          <w:sz w:val="18"/>
          <w:szCs w:val="18"/>
        </w:rPr>
        <w:t>+49 631 31600-5911</w:t>
      </w:r>
    </w:p>
    <w:p w:rsidR="0095592D" w:rsidRPr="00FB33F2" w:rsidRDefault="0095592D" w:rsidP="0095592D">
      <w:pPr>
        <w:rPr>
          <w:sz w:val="18"/>
          <w:szCs w:val="18"/>
        </w:rPr>
      </w:pPr>
      <w:r>
        <w:rPr>
          <w:sz w:val="18"/>
          <w:szCs w:val="18"/>
        </w:rPr>
        <w:t xml:space="preserve">E-Mail: </w:t>
      </w:r>
      <w:r w:rsidR="00666EC7">
        <w:rPr>
          <w:sz w:val="18"/>
          <w:szCs w:val="18"/>
        </w:rPr>
        <w:t>joachim</w:t>
      </w:r>
      <w:r>
        <w:rPr>
          <w:sz w:val="18"/>
          <w:szCs w:val="18"/>
        </w:rPr>
        <w:t>.</w:t>
      </w:r>
      <w:r w:rsidR="00666EC7">
        <w:rPr>
          <w:sz w:val="18"/>
          <w:szCs w:val="18"/>
        </w:rPr>
        <w:t>jonuscheit</w:t>
      </w:r>
      <w:r w:rsidRPr="00FB33F2">
        <w:rPr>
          <w:sz w:val="18"/>
          <w:szCs w:val="18"/>
        </w:rPr>
        <w:t>@</w:t>
      </w:r>
      <w:r w:rsidR="00666EC7">
        <w:rPr>
          <w:sz w:val="18"/>
          <w:szCs w:val="18"/>
        </w:rPr>
        <w:t>itwm</w:t>
      </w:r>
      <w:r w:rsidRPr="00FB33F2">
        <w:rPr>
          <w:sz w:val="18"/>
          <w:szCs w:val="18"/>
        </w:rPr>
        <w:t>.fraunhofer.de</w:t>
      </w:r>
    </w:p>
    <w:p w:rsidR="0095592D" w:rsidRPr="00EA43E0" w:rsidRDefault="00666EC7" w:rsidP="0095592D">
      <w:pPr>
        <w:rPr>
          <w:sz w:val="18"/>
          <w:szCs w:val="18"/>
        </w:rPr>
      </w:pPr>
      <w:r>
        <w:rPr>
          <w:sz w:val="18"/>
          <w:szCs w:val="18"/>
        </w:rPr>
        <w:t>www.itwm</w:t>
      </w:r>
      <w:r w:rsidR="0095592D" w:rsidRPr="00FB33F2">
        <w:rPr>
          <w:sz w:val="18"/>
          <w:szCs w:val="18"/>
        </w:rPr>
        <w:t>.fraunhofer.de</w:t>
      </w:r>
    </w:p>
    <w:p w:rsidR="00C46D12" w:rsidRDefault="00C46D12"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2D" w:rsidRDefault="00D0692D">
      <w:r>
        <w:separator/>
      </w:r>
    </w:p>
    <w:p w:rsidR="00D0692D" w:rsidRDefault="00D0692D"/>
    <w:p w:rsidR="00D0692D" w:rsidRDefault="00D0692D"/>
    <w:p w:rsidR="00D0692D" w:rsidRDefault="00D0692D"/>
  </w:endnote>
  <w:endnote w:type="continuationSeparator" w:id="0">
    <w:p w:rsidR="00D0692D" w:rsidRDefault="00D0692D">
      <w:r>
        <w:continuationSeparator/>
      </w:r>
    </w:p>
    <w:p w:rsidR="00D0692D" w:rsidRDefault="00D0692D"/>
    <w:p w:rsidR="00D0692D" w:rsidRDefault="00D0692D"/>
    <w:p w:rsidR="00D0692D" w:rsidRDefault="00D0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666EC7">
                            <w:rPr>
                              <w:rStyle w:val="09FuzeileAuszeichnung65811"/>
                              <w:rFonts w:ascii="Frutiger LT Com 65 Bold" w:hAnsi="Frutiger LT Com 65 Bold"/>
                              <w:b w:val="0"/>
                            </w:rPr>
                            <w:t>Dr. Joachim Jonuscheit</w:t>
                          </w:r>
                          <w:r w:rsidR="0095592D">
                            <w:t> </w:t>
                          </w:r>
                          <w:r w:rsidR="0095592D">
                            <w:t>|</w:t>
                          </w:r>
                          <w:r w:rsidR="0095592D">
                            <w:t> </w:t>
                          </w:r>
                          <w:r w:rsidR="0095592D">
                            <w:t xml:space="preserve">Telefon +49 </w:t>
                          </w:r>
                          <w:r w:rsidR="00666EC7">
                            <w:t>63</w:t>
                          </w:r>
                          <w:r w:rsidR="0095592D">
                            <w:t xml:space="preserve">1 </w:t>
                          </w:r>
                          <w:r w:rsidR="00666EC7">
                            <w:t>31600</w:t>
                          </w:r>
                          <w:r w:rsidR="0095592D">
                            <w:t>-</w:t>
                          </w:r>
                          <w:r w:rsidR="00666EC7">
                            <w:t>4911</w:t>
                          </w:r>
                          <w:r w:rsidR="0095592D">
                            <w:t> </w:t>
                          </w:r>
                          <w:r w:rsidR="0095592D">
                            <w:t>|</w:t>
                          </w:r>
                          <w:r w:rsidR="0095592D">
                            <w:t> </w:t>
                          </w:r>
                          <w:r w:rsidR="00666EC7">
                            <w:t>joachim</w:t>
                          </w:r>
                          <w:r w:rsidR="0095592D">
                            <w:t>.</w:t>
                          </w:r>
                          <w:r w:rsidR="00666EC7">
                            <w:t>jonuschei</w:t>
                          </w:r>
                          <w:r w:rsidR="0095592D">
                            <w:t>t@</w:t>
                          </w:r>
                          <w:r w:rsidR="00666EC7">
                            <w:t>itwm</w:t>
                          </w:r>
                          <w:r w:rsidR="0095592D">
                            <w:t>.fraunhofer.de</w:t>
                          </w:r>
                          <w:r w:rsidR="0095592D">
                            <w:t> </w:t>
                          </w:r>
                          <w:r w:rsidR="0095592D">
                            <w:t>|</w:t>
                          </w:r>
                          <w:r w:rsidR="00666EC7">
                            <w:t> </w:t>
                          </w:r>
                          <w:r w:rsidR="00666EC7" w:rsidRPr="00666EC7">
                            <w:t>Fraunhofer-Institut für Techno- und Wirtschaftsmathematik ITWM</w:t>
                          </w:r>
                          <w:r w:rsidR="0095592D">
                            <w:t> </w:t>
                          </w:r>
                          <w:r w:rsidR="0095592D">
                            <w:t>|</w:t>
                          </w:r>
                          <w:r w:rsidR="0095592D">
                            <w:t> </w:t>
                          </w:r>
                          <w:r w:rsidR="00666EC7" w:rsidRPr="00666EC7">
                            <w:t>Fraunhofer-Platz 1</w:t>
                          </w:r>
                          <w:r w:rsidR="0095592D">
                            <w:t> </w:t>
                          </w:r>
                          <w:r w:rsidR="0095592D">
                            <w:t>|</w:t>
                          </w:r>
                          <w:r w:rsidR="0095592D">
                            <w:t> </w:t>
                          </w:r>
                          <w:r w:rsidR="00666EC7" w:rsidRPr="00666EC7">
                            <w:t>67663 Kaiserslautern</w:t>
                          </w:r>
                          <w:r w:rsidR="00666EC7">
                            <w:t> </w:t>
                          </w:r>
                          <w:r w:rsidR="0095592D">
                            <w:t>|</w:t>
                          </w:r>
                          <w:r w:rsidR="00666EC7">
                            <w:t> </w:t>
                          </w:r>
                          <w:r w:rsidR="00666EC7">
                            <w:t>www.itwm</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4F7CE8">
                            <w:t> </w:t>
                          </w:r>
                          <w:r>
                            <w:t>|</w:t>
                          </w:r>
                          <w:r w:rsidR="004F7CE8">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666EC7">
                      <w:rPr>
                        <w:rStyle w:val="09FuzeileAuszeichnung65811"/>
                        <w:rFonts w:ascii="Frutiger LT Com 65 Bold" w:hAnsi="Frutiger LT Com 65 Bold"/>
                        <w:b w:val="0"/>
                      </w:rPr>
                      <w:t>Dr. Joachim Jonuscheit</w:t>
                    </w:r>
                    <w:r w:rsidR="0095592D">
                      <w:t> </w:t>
                    </w:r>
                    <w:r w:rsidR="0095592D">
                      <w:t>|</w:t>
                    </w:r>
                    <w:r w:rsidR="0095592D">
                      <w:t> </w:t>
                    </w:r>
                    <w:r w:rsidR="0095592D">
                      <w:t xml:space="preserve">Telefon +49 </w:t>
                    </w:r>
                    <w:r w:rsidR="00666EC7">
                      <w:t>63</w:t>
                    </w:r>
                    <w:r w:rsidR="0095592D">
                      <w:t xml:space="preserve">1 </w:t>
                    </w:r>
                    <w:r w:rsidR="00666EC7">
                      <w:t>31600</w:t>
                    </w:r>
                    <w:r w:rsidR="0095592D">
                      <w:t>-</w:t>
                    </w:r>
                    <w:r w:rsidR="00666EC7">
                      <w:t>4911</w:t>
                    </w:r>
                    <w:r w:rsidR="0095592D">
                      <w:t> </w:t>
                    </w:r>
                    <w:r w:rsidR="0095592D">
                      <w:t>|</w:t>
                    </w:r>
                    <w:r w:rsidR="0095592D">
                      <w:t> </w:t>
                    </w:r>
                    <w:r w:rsidR="00666EC7">
                      <w:t>joachim</w:t>
                    </w:r>
                    <w:r w:rsidR="0095592D">
                      <w:t>.</w:t>
                    </w:r>
                    <w:r w:rsidR="00666EC7">
                      <w:t>jonuschei</w:t>
                    </w:r>
                    <w:r w:rsidR="0095592D">
                      <w:t>t@</w:t>
                    </w:r>
                    <w:r w:rsidR="00666EC7">
                      <w:t>itwm</w:t>
                    </w:r>
                    <w:r w:rsidR="0095592D">
                      <w:t>.fraunhofer.de</w:t>
                    </w:r>
                    <w:r w:rsidR="0095592D">
                      <w:t> </w:t>
                    </w:r>
                    <w:r w:rsidR="0095592D">
                      <w:t>|</w:t>
                    </w:r>
                    <w:r w:rsidR="00666EC7">
                      <w:t> </w:t>
                    </w:r>
                    <w:r w:rsidR="00666EC7" w:rsidRPr="00666EC7">
                      <w:t>Fraunhofer-Institut für Techno- und Wirtschaftsmathematik ITWM</w:t>
                    </w:r>
                    <w:r w:rsidR="0095592D">
                      <w:t> </w:t>
                    </w:r>
                    <w:r w:rsidR="0095592D">
                      <w:t>|</w:t>
                    </w:r>
                    <w:r w:rsidR="0095592D">
                      <w:t> </w:t>
                    </w:r>
                    <w:r w:rsidR="00666EC7" w:rsidRPr="00666EC7">
                      <w:t>Fraunhofer-Platz 1</w:t>
                    </w:r>
                    <w:r w:rsidR="0095592D">
                      <w:t> </w:t>
                    </w:r>
                    <w:r w:rsidR="0095592D">
                      <w:t>|</w:t>
                    </w:r>
                    <w:r w:rsidR="0095592D">
                      <w:t> </w:t>
                    </w:r>
                    <w:r w:rsidR="00666EC7" w:rsidRPr="00666EC7">
                      <w:t>67663 Kaiserslautern</w:t>
                    </w:r>
                    <w:r w:rsidR="00666EC7">
                      <w:t> </w:t>
                    </w:r>
                    <w:r w:rsidR="0095592D">
                      <w:t>|</w:t>
                    </w:r>
                    <w:r w:rsidR="00666EC7">
                      <w:t> </w:t>
                    </w:r>
                    <w:r w:rsidR="00666EC7">
                      <w:t>www.itwm</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4F7CE8">
                      <w:t> </w:t>
                    </w:r>
                    <w:r>
                      <w:t>|</w:t>
                    </w:r>
                    <w:r w:rsidR="004F7CE8">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2D" w:rsidRDefault="00D0692D"/>
    <w:p w:rsidR="00D0692D" w:rsidRDefault="00D0692D"/>
    <w:p w:rsidR="00D0692D" w:rsidRDefault="00D0692D"/>
    <w:p w:rsidR="00D0692D" w:rsidRDefault="00D0692D"/>
  </w:footnote>
  <w:footnote w:type="continuationSeparator" w:id="0">
    <w:p w:rsidR="00D0692D" w:rsidRDefault="00D0692D">
      <w:r>
        <w:continuationSeparator/>
      </w:r>
    </w:p>
    <w:p w:rsidR="00D0692D" w:rsidRDefault="00D0692D"/>
    <w:p w:rsidR="00D0692D" w:rsidRDefault="00D0692D"/>
    <w:p w:rsidR="00D0692D" w:rsidRDefault="00D0692D"/>
  </w:footnote>
  <w:footnote w:type="continuationNotice" w:id="1">
    <w:p w:rsidR="00D0692D" w:rsidRDefault="00D0692D"/>
    <w:p w:rsidR="00D0692D" w:rsidRDefault="00D0692D"/>
    <w:p w:rsidR="00D0692D" w:rsidRDefault="00D0692D"/>
    <w:p w:rsidR="00D0692D" w:rsidRDefault="00D069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DA3E52" w:rsidP="00205BDB">
    <w:pPr>
      <w:pStyle w:val="LebenderKolumnentitel2"/>
      <w:framePr w:wrap="around"/>
      <w:rPr>
        <w:b/>
      </w:rPr>
    </w:pPr>
    <w:r>
      <w:rPr>
        <w:b/>
      </w:rPr>
      <w:t>PRESSE</w:t>
    </w:r>
    <w:r w:rsidR="00485F26">
      <w:rPr>
        <w:b/>
      </w:rPr>
      <w:t>MITTEILUNG</w:t>
    </w:r>
  </w:p>
  <w:p w:rsidR="00DA3E52" w:rsidRPr="00205BDB" w:rsidRDefault="003D1AE9" w:rsidP="00205BDB">
    <w:pPr>
      <w:pStyle w:val="LebenderKolumnentitel2"/>
      <w:framePr w:wrap="around"/>
    </w:pPr>
    <w:r>
      <w:t>1</w:t>
    </w:r>
    <w:r w:rsidR="004F7CE8">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485F26">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485F26">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2923D4"/>
    <w:multiLevelType w:val="hybridMultilevel"/>
    <w:tmpl w:val="67964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10" w15:restartNumberingAfterBreak="0">
    <w:nsid w:val="064403ED"/>
    <w:multiLevelType w:val="multilevel"/>
    <w:tmpl w:val="0E0E97CA"/>
    <w:numStyleLink w:val="AufzhlungPunkt"/>
  </w:abstractNum>
  <w:abstractNum w:abstractNumId="11" w15:restartNumberingAfterBreak="0">
    <w:nsid w:val="09EA0B88"/>
    <w:multiLevelType w:val="multilevel"/>
    <w:tmpl w:val="0E0E97CA"/>
    <w:numStyleLink w:val="AufzhlungPunkt"/>
  </w:abstractNum>
  <w:abstractNum w:abstractNumId="12" w15:restartNumberingAfterBreak="0">
    <w:nsid w:val="12487C1F"/>
    <w:multiLevelType w:val="multilevel"/>
    <w:tmpl w:val="7624E2A8"/>
    <w:numStyleLink w:val="Aufzhlung"/>
  </w:abstractNum>
  <w:abstractNum w:abstractNumId="13" w15:restartNumberingAfterBreak="0">
    <w:nsid w:val="1EF6759D"/>
    <w:multiLevelType w:val="multilevel"/>
    <w:tmpl w:val="7624E2A8"/>
    <w:numStyleLink w:val="Aufzhlung"/>
  </w:abstractNum>
  <w:abstractNum w:abstractNumId="14" w15:restartNumberingAfterBreak="0">
    <w:nsid w:val="229C637C"/>
    <w:multiLevelType w:val="multilevel"/>
    <w:tmpl w:val="7624E2A8"/>
    <w:numStyleLink w:val="Aufzhlung"/>
  </w:abstractNum>
  <w:abstractNum w:abstractNumId="15" w15:restartNumberingAfterBreak="0">
    <w:nsid w:val="2E3727EA"/>
    <w:multiLevelType w:val="multilevel"/>
    <w:tmpl w:val="E3B06D9E"/>
    <w:numStyleLink w:val="AufzhlungStrich"/>
  </w:abstractNum>
  <w:abstractNum w:abstractNumId="16" w15:restartNumberingAfterBreak="0">
    <w:nsid w:val="2FF62AA1"/>
    <w:multiLevelType w:val="multilevel"/>
    <w:tmpl w:val="0E0E97CA"/>
    <w:numStyleLink w:val="AufzhlungPunkt"/>
  </w:abstractNum>
  <w:abstractNum w:abstractNumId="1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9" w15:restartNumberingAfterBreak="0">
    <w:nsid w:val="35E54030"/>
    <w:multiLevelType w:val="multilevel"/>
    <w:tmpl w:val="E3B06D9E"/>
    <w:numStyleLink w:val="AufzhlungStrich"/>
  </w:abstractNum>
  <w:abstractNum w:abstractNumId="20"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1" w15:restartNumberingAfterBreak="0">
    <w:nsid w:val="448A22C7"/>
    <w:multiLevelType w:val="multilevel"/>
    <w:tmpl w:val="0E0E97CA"/>
    <w:numStyleLink w:val="AufzhlungPunkt"/>
  </w:abstractNum>
  <w:abstractNum w:abstractNumId="22" w15:restartNumberingAfterBreak="0">
    <w:nsid w:val="4758435B"/>
    <w:multiLevelType w:val="multilevel"/>
    <w:tmpl w:val="E3B06D9E"/>
    <w:numStyleLink w:val="AufzhlungStrich"/>
  </w:abstractNum>
  <w:abstractNum w:abstractNumId="23"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DA61EC1"/>
    <w:multiLevelType w:val="multilevel"/>
    <w:tmpl w:val="E3B06D9E"/>
    <w:numStyleLink w:val="AufzhlungStrich"/>
  </w:abstractNum>
  <w:abstractNum w:abstractNumId="25"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7" w15:restartNumberingAfterBreak="0">
    <w:nsid w:val="4E196740"/>
    <w:multiLevelType w:val="multilevel"/>
    <w:tmpl w:val="E3B06D9E"/>
    <w:numStyleLink w:val="AufzhlungStrich"/>
  </w:abstractNum>
  <w:abstractNum w:abstractNumId="28" w15:restartNumberingAfterBreak="0">
    <w:nsid w:val="4F5D627C"/>
    <w:multiLevelType w:val="multilevel"/>
    <w:tmpl w:val="7624E2A8"/>
    <w:numStyleLink w:val="Aufzhlung"/>
  </w:abstractNum>
  <w:abstractNum w:abstractNumId="29" w15:restartNumberingAfterBreak="0">
    <w:nsid w:val="4F650DA8"/>
    <w:multiLevelType w:val="multilevel"/>
    <w:tmpl w:val="0E0E97CA"/>
    <w:numStyleLink w:val="AufzhlungPunkt"/>
  </w:abstractNum>
  <w:abstractNum w:abstractNumId="30" w15:restartNumberingAfterBreak="0">
    <w:nsid w:val="51AD15AC"/>
    <w:multiLevelType w:val="multilevel"/>
    <w:tmpl w:val="0E0E97CA"/>
    <w:numStyleLink w:val="AufzhlungPunkt"/>
  </w:abstractNum>
  <w:abstractNum w:abstractNumId="31"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3" w15:restartNumberingAfterBreak="0">
    <w:nsid w:val="59E73388"/>
    <w:multiLevelType w:val="multilevel"/>
    <w:tmpl w:val="E3B06D9E"/>
    <w:numStyleLink w:val="AufzhlungStrich"/>
  </w:abstractNum>
  <w:abstractNum w:abstractNumId="34" w15:restartNumberingAfterBreak="0">
    <w:nsid w:val="59F018AC"/>
    <w:multiLevelType w:val="multilevel"/>
    <w:tmpl w:val="7624E2A8"/>
    <w:numStyleLink w:val="Aufzhlung"/>
  </w:abstractNum>
  <w:abstractNum w:abstractNumId="35"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5E3727D5"/>
    <w:multiLevelType w:val="multilevel"/>
    <w:tmpl w:val="7624E2A8"/>
    <w:numStyleLink w:val="Aufzhlung"/>
  </w:abstractNum>
  <w:abstractNum w:abstractNumId="37"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93BF0"/>
    <w:multiLevelType w:val="multilevel"/>
    <w:tmpl w:val="7624E2A8"/>
    <w:numStyleLink w:val="Aufzhlung"/>
  </w:abstractNum>
  <w:abstractNum w:abstractNumId="40"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5F53F5"/>
    <w:multiLevelType w:val="multilevel"/>
    <w:tmpl w:val="7624E2A8"/>
    <w:numStyleLink w:val="Aufzhlung"/>
  </w:abstractNum>
  <w:abstractNum w:abstractNumId="42" w15:restartNumberingAfterBreak="0">
    <w:nsid w:val="6EA50780"/>
    <w:multiLevelType w:val="multilevel"/>
    <w:tmpl w:val="7624E2A8"/>
    <w:numStyleLink w:val="Aufzhlung"/>
  </w:abstractNum>
  <w:abstractNum w:abstractNumId="43"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5" w15:restartNumberingAfterBreak="0">
    <w:nsid w:val="73BB149F"/>
    <w:multiLevelType w:val="multilevel"/>
    <w:tmpl w:val="0E0E97CA"/>
    <w:numStyleLink w:val="AufzhlungPunkt"/>
  </w:abstractNum>
  <w:abstractNum w:abstractNumId="46"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8C7C15"/>
    <w:multiLevelType w:val="multilevel"/>
    <w:tmpl w:val="7624E2A8"/>
    <w:numStyleLink w:val="Aufzhlung"/>
  </w:abstractNum>
  <w:num w:numId="1">
    <w:abstractNumId w:val="1"/>
  </w:num>
  <w:num w:numId="2">
    <w:abstractNumId w:val="32"/>
  </w:num>
  <w:num w:numId="3">
    <w:abstractNumId w:val="44"/>
  </w:num>
  <w:num w:numId="4">
    <w:abstractNumId w:val="7"/>
  </w:num>
  <w:num w:numId="5">
    <w:abstractNumId w:val="9"/>
  </w:num>
  <w:num w:numId="6">
    <w:abstractNumId w:val="17"/>
  </w:num>
  <w:num w:numId="7">
    <w:abstractNumId w:val="26"/>
  </w:num>
  <w:num w:numId="8">
    <w:abstractNumId w:val="18"/>
  </w:num>
  <w:num w:numId="9">
    <w:abstractNumId w:val="14"/>
  </w:num>
  <w:num w:numId="10">
    <w:abstractNumId w:val="11"/>
  </w:num>
  <w:num w:numId="11">
    <w:abstractNumId w:val="15"/>
  </w:num>
  <w:num w:numId="12">
    <w:abstractNumId w:val="35"/>
  </w:num>
  <w:num w:numId="13">
    <w:abstractNumId w:val="44"/>
  </w:num>
  <w:num w:numId="14">
    <w:abstractNumId w:val="6"/>
  </w:num>
  <w:num w:numId="15">
    <w:abstractNumId w:val="5"/>
  </w:num>
  <w:num w:numId="16">
    <w:abstractNumId w:val="4"/>
  </w:num>
  <w:num w:numId="17">
    <w:abstractNumId w:val="3"/>
  </w:num>
  <w:num w:numId="18">
    <w:abstractNumId w:val="2"/>
  </w:num>
  <w:num w:numId="19">
    <w:abstractNumId w:val="41"/>
  </w:num>
  <w:num w:numId="20">
    <w:abstractNumId w:val="34"/>
  </w:num>
  <w:num w:numId="21">
    <w:abstractNumId w:val="23"/>
  </w:num>
  <w:num w:numId="22">
    <w:abstractNumId w:val="25"/>
  </w:num>
  <w:num w:numId="23">
    <w:abstractNumId w:val="47"/>
  </w:num>
  <w:num w:numId="24">
    <w:abstractNumId w:val="42"/>
  </w:num>
  <w:num w:numId="25">
    <w:abstractNumId w:val="10"/>
  </w:num>
  <w:num w:numId="26">
    <w:abstractNumId w:val="22"/>
  </w:num>
  <w:num w:numId="27">
    <w:abstractNumId w:val="33"/>
  </w:num>
  <w:num w:numId="28">
    <w:abstractNumId w:val="20"/>
  </w:num>
  <w:num w:numId="29">
    <w:abstractNumId w:val="31"/>
  </w:num>
  <w:num w:numId="30">
    <w:abstractNumId w:val="16"/>
  </w:num>
  <w:num w:numId="31">
    <w:abstractNumId w:val="28"/>
  </w:num>
  <w:num w:numId="32">
    <w:abstractNumId w:val="29"/>
  </w:num>
  <w:num w:numId="33">
    <w:abstractNumId w:val="24"/>
  </w:num>
  <w:num w:numId="34">
    <w:abstractNumId w:val="12"/>
  </w:num>
  <w:num w:numId="35">
    <w:abstractNumId w:val="45"/>
  </w:num>
  <w:num w:numId="36">
    <w:abstractNumId w:val="27"/>
  </w:num>
  <w:num w:numId="37">
    <w:abstractNumId w:val="13"/>
  </w:num>
  <w:num w:numId="38">
    <w:abstractNumId w:val="21"/>
  </w:num>
  <w:num w:numId="39">
    <w:abstractNumId w:val="19"/>
  </w:num>
  <w:num w:numId="40">
    <w:abstractNumId w:val="30"/>
  </w:num>
  <w:num w:numId="41">
    <w:abstractNumId w:val="36"/>
  </w:num>
  <w:num w:numId="42">
    <w:abstractNumId w:val="39"/>
  </w:num>
  <w:num w:numId="43">
    <w:abstractNumId w:val="48"/>
  </w:num>
  <w:num w:numId="44">
    <w:abstractNumId w:val="0"/>
  </w:num>
  <w:num w:numId="45">
    <w:abstractNumId w:val="38"/>
  </w:num>
  <w:num w:numId="46">
    <w:abstractNumId w:val="37"/>
  </w:num>
  <w:num w:numId="47">
    <w:abstractNumId w:val="43"/>
  </w:num>
  <w:num w:numId="48">
    <w:abstractNumId w:val="46"/>
  </w:num>
  <w:num w:numId="49">
    <w:abstractNumId w:val="40"/>
  </w:num>
  <w:num w:numId="5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C581F"/>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85F26"/>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CE8"/>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6C0"/>
    <w:rsid w:val="00640D5B"/>
    <w:rsid w:val="0064285E"/>
    <w:rsid w:val="006429AC"/>
    <w:rsid w:val="00644225"/>
    <w:rsid w:val="00647882"/>
    <w:rsid w:val="00651D3E"/>
    <w:rsid w:val="00652F3F"/>
    <w:rsid w:val="00653773"/>
    <w:rsid w:val="006648D5"/>
    <w:rsid w:val="00666EC7"/>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147"/>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63F"/>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13E3"/>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02E"/>
    <w:rsid w:val="00CD75EC"/>
    <w:rsid w:val="00CE1AD5"/>
    <w:rsid w:val="00CE7A58"/>
    <w:rsid w:val="00CE7CD6"/>
    <w:rsid w:val="00CF6E02"/>
    <w:rsid w:val="00CF79EF"/>
    <w:rsid w:val="00D004E8"/>
    <w:rsid w:val="00D02DBB"/>
    <w:rsid w:val="00D0692D"/>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2269"/>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8C7E32"/>
  <w15:docId w15:val="{70685443-EC37-4E6C-9281-9D13695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336C-ED23-4603-9190-55AB185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6</cp:revision>
  <cp:lastPrinted>2018-02-20T11:43:00Z</cp:lastPrinted>
  <dcterms:created xsi:type="dcterms:W3CDTF">2019-03-06T09:51:00Z</dcterms:created>
  <dcterms:modified xsi:type="dcterms:W3CDTF">2019-05-08T09:33:00Z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